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8280"/>
          <w:tab w:val="right" w:pos="8280"/>
        </w:tabs>
        <w:spacing w:after="200" w:line="240" w:lineRule="auto"/>
        <w:jc w:val="both"/>
        <w:rPr>
          <w:rFonts w:ascii="Century Gothic" w:cs="Century Gothic" w:eastAsia="Century Gothic" w:hAnsi="Century Gothic"/>
          <w:i w:val="1"/>
          <w:color w:val="99999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999999"/>
          <w:sz w:val="20"/>
          <w:szCs w:val="20"/>
          <w:rtl w:val="0"/>
        </w:rPr>
        <w:t xml:space="preserve">Verksamhetsberättelse 2021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4838700</wp:posOffset>
            </wp:positionH>
            <wp:positionV relativeFrom="paragraph">
              <wp:posOffset>356009</wp:posOffset>
            </wp:positionV>
            <wp:extent cx="1168400" cy="1168400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8280"/>
          <w:tab w:val="right" w:pos="8280"/>
        </w:tabs>
        <w:spacing w:after="200" w:line="240" w:lineRule="auto"/>
        <w:jc w:val="both"/>
        <w:rPr>
          <w:rFonts w:ascii="Century Gothic" w:cs="Century Gothic" w:eastAsia="Century Gothic" w:hAnsi="Century Gothic"/>
          <w:color w:val="99999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999999"/>
          <w:sz w:val="20"/>
          <w:szCs w:val="20"/>
          <w:rtl w:val="0"/>
        </w:rPr>
        <w:t xml:space="preserve">Lokalnämnden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8280"/>
          <w:tab w:val="right" w:pos="8280"/>
        </w:tabs>
        <w:spacing w:after="200" w:line="240" w:lineRule="auto"/>
        <w:jc w:val="both"/>
        <w:rPr>
          <w:rFonts w:ascii="Century Gothic" w:cs="Century Gothic" w:eastAsia="Century Gothic" w:hAnsi="Century Gothic"/>
          <w:i w:val="1"/>
          <w:color w:val="99999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999999"/>
          <w:sz w:val="20"/>
          <w:szCs w:val="20"/>
          <w:rtl w:val="0"/>
        </w:rPr>
        <w:t xml:space="preserve">Ingenjörssektionen Flemingsberg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8280"/>
          <w:tab w:val="right" w:pos="8280"/>
        </w:tabs>
        <w:spacing w:after="200" w:line="240" w:lineRule="auto"/>
        <w:jc w:val="both"/>
        <w:rPr>
          <w:rFonts w:ascii="Century Gothic" w:cs="Century Gothic" w:eastAsia="Century Gothic" w:hAnsi="Century Gothic"/>
          <w:i w:val="1"/>
          <w:color w:val="99999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999999"/>
          <w:sz w:val="20"/>
          <w:szCs w:val="20"/>
          <w:rtl w:val="0"/>
        </w:rPr>
        <w:t xml:space="preserve">2021-05-12</w:t>
      </w:r>
    </w:p>
    <w:p w:rsidR="00000000" w:rsidDel="00000000" w:rsidP="00000000" w:rsidRDefault="00000000" w:rsidRPr="00000000" w14:paraId="00000005">
      <w:pPr>
        <w:pBdr>
          <w:bottom w:color="000000" w:space="0" w:sz="0" w:val="none"/>
        </w:pBd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Verksamhetsberättelse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bottom w:color="000000" w:space="0" w:sz="0" w:val="none"/>
        </w:pBd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bottom w:color="000000" w:space="0" w:sz="0" w:val="none"/>
        </w:pBd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 Ingenjörssektionen Flemingsberg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Verksamhetsåret 2021-01-01 – 2021-12-31</w:t>
      </w:r>
    </w:p>
    <w:p w:rsidR="00000000" w:rsidDel="00000000" w:rsidP="00000000" w:rsidRDefault="00000000" w:rsidRPr="00000000" w14:paraId="00000009">
      <w:pPr>
        <w:keepNext w:val="1"/>
        <w:pBdr>
          <w:bottom w:color="000000" w:space="0" w:sz="0" w:val="none"/>
        </w:pBdr>
        <w:spacing w:after="6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LOKALNÄMNDENS LEDNING HAR BESTÅTT AV</w:t>
      </w:r>
    </w:p>
    <w:p w:rsidR="00000000" w:rsidDel="00000000" w:rsidP="00000000" w:rsidRDefault="00000000" w:rsidRPr="00000000" w14:paraId="0000000A">
      <w:pPr>
        <w:keepNext w:val="1"/>
        <w:pBdr>
          <w:bottom w:color="000000" w:space="0" w:sz="0" w:val="none"/>
        </w:pBdr>
        <w:spacing w:after="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Filip Kallio Sandnes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pBdr>
          <w:bottom w:color="000000" w:space="0" w:sz="0" w:val="none"/>
        </w:pBdr>
        <w:spacing w:after="60" w:before="24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VIKTIGA HÄNDELSER UNDER ÅRET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Arbetet av lokalnämnden har till stor del varit minimal under en stor del av verksamhetsåret i och med att all utbildning skedde på distans, så alla potentiella förbättringar lades på is tillsvidare.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messenger chatt med lokalansvariga från MiT samt RHK var skapad för att förbättra samverkan mellan alla olika sektioner. Detta har varit mycket bra i och med att man nu har snabb och enkel kontakt om potentiella ändringar som alla parter kan vara intresserade i.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ny soffa var donerad av Utter som blev placerad i hörnet bredvid DJ-båset och detta var mycket uppskattat samt har kommit till flitig användning.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Ytterligare förbättringar har varit i form av en SL-tabell som visar både uppkommande pendeltåg samt bussar,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infoknappen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gör roliga ljud också som är bonus.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En PS4 blev dessutom donerad från Filip så lokalens spelhörna har fått en uppgradering på den fronten också.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Frosting av glaset i Rudan har varit 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diskussionspunkt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bland sektionens lokalnämnden på begär från Mogen men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diskussionspunkten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upphörde tyvärr i och med finansieringen av detta blev oklart.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